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paktype</w:t>
      </w:r>
      <w:r>
        <w:rPr>
          <w:rStyle w:val="a0"/>
          <w:rFonts w:ascii="微软雅黑" w:hAnsi="微软雅黑"/>
          <w:b w:val="0"/>
          <w:sz w:val="21"/>
        </w:rPr>
        <w:t>-</w:t>
      </w:r>
      <w:r>
        <w:rPr>
          <w:rStyle w:val="a0"/>
          <w:rFonts w:ascii="微软雅黑" w:hAnsi="微软雅黑"/>
          <w:b w:val="0"/>
          <w:sz w:val="21"/>
        </w:rPr>
        <w:t>naskh</w:t>
      </w:r>
      <w:r>
        <w:rPr>
          <w:rStyle w:val="a0"/>
          <w:rFonts w:ascii="微软雅黑" w:hAnsi="微软雅黑"/>
          <w:b w:val="0"/>
          <w:sz w:val="21"/>
        </w:rPr>
        <w:t>-basic-fonts 6.0</w:t>
      </w:r>
    </w:p>
    <w:p>
      <w:pPr/>
      <w:r>
        <w:rPr>
          <w:rStyle w:val="a0"/>
          <w:rFonts w:ascii="Arial" w:hAnsi="Arial"/>
          <w:b/>
        </w:rPr>
        <w:t xml:space="preserve">Copyright notice: </w:t>
      </w:r>
    </w:p>
    <w:p>
      <w:pPr/>
      <w:r>
        <w:rPr>
          <w:rStyle w:val="a0"/>
          <w:rFonts w:ascii="宋体" w:hAnsi="宋体"/>
          <w:sz w:val="22"/>
        </w:rPr>
        <w:t xml:space="preserve">Copyright (c) Pakistani Typography. </w:t>
      </w:r>
      <w:r>
        <w:rPr>
          <w:rStyle w:val="a0"/>
          <w:rFonts w:ascii="宋体" w:hAnsi="宋体"/>
          <w:sz w:val="22"/>
        </w:rPr>
        <w:t>groups.yahoo.com/group/</w:t>
      </w:r>
      <w:r>
        <w:rPr>
          <w:rStyle w:val="a0"/>
          <w:rFonts w:ascii="宋体" w:hAnsi="宋体"/>
          <w:sz w:val="22"/>
        </w:rPr>
        <w:t>paktype</w:t>
      </w:r>
      <w:r>
        <w:rPr>
          <w:rStyle w:val="a0"/>
          <w:rFonts w:ascii="宋体" w:hAnsi="宋体"/>
          <w:sz w:val="22"/>
        </w:rPr>
        <w:br/>
      </w:r>
    </w:p>
    <w:p>
      <w:pPr/>
      <w:r>
        <w:rPr>
          <w:rStyle w:val="a0"/>
          <w:b/>
        </w:rPr>
        <w:t xml:space="preserve">License: </w:t>
      </w:r>
      <w:r>
        <w:rPr>
          <w:rStyle w:val="a0"/>
          <w:sz w:val="21"/>
        </w:rPr>
        <w:t>GPLv2 with exceptions</w:t>
      </w:r>
    </w:p>
    <w:p>
      <w:pPr/>
      <w:r>
        <w:rPr>
          <w:rStyle w:val="a0"/>
          <w:rFonts w:ascii="宋体" w:hAnsi="宋体"/>
          <w:sz w:val="22"/>
        </w:rPr>
        <w:t>insert</w:t>
      </w:r>
      <w:r>
        <w:rPr>
          <w:rStyle w:val="a0"/>
          <w:rFonts w:ascii="宋体" w:hAnsi="宋体"/>
          <w:sz w:val="22"/>
        </w:rPr>
        <w:t xml:space="preserve"> GPL v2 license text here</w:t>
      </w:r>
    </w:p>
    <w:p>
      <w:pPr/>
    </w:p>
    <w:p>
      <w:pPr/>
      <w:r>
        <w:rPr>
          <w:rStyle w:val="a0"/>
          <w:rFonts w:ascii="宋体" w:hAnsi="宋体"/>
          <w:sz w:val="22"/>
        </w:rPr>
        <w:t>Class Path Exception</w:t>
      </w:r>
    </w:p>
    <w:p>
      <w:pPr/>
    </w:p>
    <w:p>
      <w:pPr/>
      <w:r>
        <w:rPr>
          <w:rStyle w:val="a0"/>
          <w:rFonts w:ascii="宋体" w:hAnsi="宋体"/>
          <w:sz w:val="22"/>
        </w:rPr>
        <w:t>Linking this library statically or dynamically with other modules is making a combined work based on this library. Thus, the terms and conditions of the GNU General Public License cover the whole combination.</w:t>
      </w:r>
    </w:p>
    <w:p>
      <w:pPr/>
    </w:p>
    <w:p>
      <w:pPr/>
      <w:r>
        <w:rPr>
          <w:rStyle w:val="a0"/>
          <w:rFonts w:ascii="宋体" w:hAnsi="宋体"/>
          <w:sz w:val="22"/>
        </w:rPr>
        <w:t xml:space="preserve">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w:t>
      </w:r>
      <w:r>
        <w:rPr>
          <w:rStyle w:val="a0"/>
          <w:rFonts w:ascii="宋体" w:hAnsi="宋体"/>
          <w:sz w:val="22"/>
        </w:rPr>
        <w:t>you modify this library, you may extend this exception to your version of the library, but you are not obligated to do so. If you do not wish to do so, delete this exception statement from your version.</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